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8E3" w:rsidRDefault="000368E3" w:rsidP="000368E3">
      <w:pPr>
        <w:widowControl/>
        <w:spacing w:beforeLines="100" w:before="312"/>
        <w:jc w:val="center"/>
        <w:rPr>
          <w:rFonts w:ascii="宋体" w:hAnsi="宋体"/>
          <w:color w:val="000000"/>
          <w:kern w:val="0"/>
          <w:sz w:val="72"/>
          <w:szCs w:val="72"/>
        </w:rPr>
      </w:pPr>
      <w:r>
        <w:rPr>
          <w:rFonts w:ascii="宋体" w:hAnsi="宋体" w:hint="eastAsia"/>
          <w:color w:val="FF0000"/>
          <w:kern w:val="0"/>
          <w:sz w:val="72"/>
          <w:szCs w:val="72"/>
        </w:rPr>
        <w:t>扬 州 大 学 离 退 休 处</w:t>
      </w:r>
    </w:p>
    <w:p w:rsidR="000368E3" w:rsidRDefault="000368E3" w:rsidP="000368E3">
      <w:pPr>
        <w:snapToGrid w:val="0"/>
        <w:spacing w:beforeLines="50" w:before="156" w:line="400" w:lineRule="exact"/>
        <w:jc w:val="center"/>
        <w:rPr>
          <w:rFonts w:ascii="仿宋" w:eastAsia="仿宋" w:hAnsi="仿宋" w:hint="eastAsia"/>
          <w:sz w:val="32"/>
          <w:szCs w:val="32"/>
        </w:rPr>
      </w:pPr>
    </w:p>
    <w:p w:rsidR="000368E3" w:rsidRPr="000368E3" w:rsidRDefault="000368E3" w:rsidP="000368E3">
      <w:pPr>
        <w:snapToGrid w:val="0"/>
        <w:spacing w:beforeLines="50" w:before="156" w:line="400" w:lineRule="exact"/>
        <w:jc w:val="center"/>
        <w:rPr>
          <w:rFonts w:ascii="仿宋" w:eastAsia="仿宋" w:hAnsi="仿宋" w:hint="eastAsia"/>
          <w:sz w:val="32"/>
          <w:szCs w:val="32"/>
        </w:rPr>
      </w:pPr>
      <w:r w:rsidRPr="000368E3">
        <w:rPr>
          <w:rFonts w:ascii="仿宋" w:eastAsia="仿宋" w:hAnsi="仿宋" w:hint="eastAsia"/>
          <w:sz w:val="32"/>
          <w:szCs w:val="32"/>
        </w:rPr>
        <w:t>扬大离退［2019］4号</w:t>
      </w:r>
    </w:p>
    <w:p w:rsidR="000368E3" w:rsidRPr="00E217DB" w:rsidRDefault="000368E3" w:rsidP="000368E3">
      <w:pPr>
        <w:spacing w:beforeLines="50" w:before="156"/>
        <w:rPr>
          <w:rFonts w:ascii="宋体" w:hAnsi="宋体" w:hint="eastAsia"/>
          <w:color w:val="FF0000"/>
          <w:kern w:val="0"/>
          <w:sz w:val="24"/>
          <w:szCs w:val="24"/>
          <w:u w:val="single"/>
        </w:rPr>
      </w:pPr>
      <w:r>
        <w:rPr>
          <w:rFonts w:ascii="宋体" w:hAnsi="宋体" w:hint="eastAsia"/>
          <w:color w:val="FF0000"/>
          <w:kern w:val="0"/>
          <w:sz w:val="24"/>
          <w:szCs w:val="24"/>
          <w:u w:val="thick"/>
        </w:rPr>
        <w:t xml:space="preserve">                 </w:t>
      </w:r>
      <w:r>
        <w:rPr>
          <w:rFonts w:ascii="宋体" w:hAnsi="宋体" w:hint="eastAsia"/>
          <w:color w:val="FF0000"/>
          <w:kern w:val="0"/>
          <w:sz w:val="24"/>
          <w:szCs w:val="24"/>
          <w:u w:val="thick"/>
        </w:rPr>
        <w:t xml:space="preserve">                                     </w:t>
      </w:r>
      <w:r>
        <w:rPr>
          <w:rFonts w:ascii="宋体" w:hAnsi="宋体" w:hint="eastAsia"/>
          <w:color w:val="FF0000"/>
          <w:kern w:val="0"/>
          <w:sz w:val="24"/>
          <w:szCs w:val="24"/>
          <w:u w:val="thick"/>
        </w:rPr>
        <w:t xml:space="preserve">                    </w:t>
      </w:r>
      <w:r w:rsidR="00E217DB">
        <w:rPr>
          <w:rFonts w:ascii="宋体" w:hAnsi="宋体" w:hint="eastAsia"/>
          <w:color w:val="FF0000"/>
          <w:kern w:val="0"/>
          <w:sz w:val="24"/>
          <w:szCs w:val="24"/>
          <w:u w:val="thick"/>
        </w:rPr>
        <w:t xml:space="preserve">  </w:t>
      </w:r>
      <w:r>
        <w:rPr>
          <w:rFonts w:ascii="宋体" w:hAnsi="宋体" w:hint="eastAsia"/>
          <w:color w:val="FF0000"/>
          <w:kern w:val="0"/>
          <w:sz w:val="24"/>
          <w:szCs w:val="24"/>
          <w:u w:val="thick"/>
        </w:rPr>
        <w:t xml:space="preserve"> </w:t>
      </w:r>
      <w:r w:rsidR="00E217DB">
        <w:rPr>
          <w:rFonts w:ascii="宋体" w:hAnsi="宋体" w:hint="eastAsia"/>
          <w:color w:val="FF0000"/>
          <w:kern w:val="0"/>
          <w:sz w:val="24"/>
          <w:szCs w:val="24"/>
          <w:u w:val="single"/>
        </w:rPr>
        <w:t xml:space="preserve"> </w:t>
      </w:r>
      <w:r w:rsidRPr="00E217DB">
        <w:rPr>
          <w:rFonts w:ascii="宋体" w:hAnsi="宋体" w:hint="eastAsia"/>
          <w:color w:val="FF0000"/>
          <w:kern w:val="0"/>
          <w:sz w:val="24"/>
          <w:szCs w:val="24"/>
          <w:u w:val="single"/>
        </w:rPr>
        <w:t xml:space="preserve">  </w:t>
      </w:r>
    </w:p>
    <w:tbl>
      <w:tblPr>
        <w:tblW w:w="0" w:type="auto"/>
        <w:tblCellMar>
          <w:left w:w="0" w:type="dxa"/>
          <w:right w:w="0" w:type="dxa"/>
        </w:tblCellMar>
        <w:tblLook w:val="04A0" w:firstRow="1" w:lastRow="0" w:firstColumn="1" w:lastColumn="0" w:noHBand="0" w:noVBand="1"/>
      </w:tblPr>
      <w:tblGrid>
        <w:gridCol w:w="9858"/>
      </w:tblGrid>
      <w:tr w:rsidR="000368E3" w:rsidTr="00E217DB">
        <w:trPr>
          <w:trHeight w:val="998"/>
        </w:trPr>
        <w:tc>
          <w:tcPr>
            <w:tcW w:w="0" w:type="auto"/>
            <w:tcBorders>
              <w:top w:val="nil"/>
              <w:left w:val="nil"/>
              <w:bottom w:val="nil"/>
              <w:right w:val="nil"/>
            </w:tcBorders>
            <w:tcMar>
              <w:top w:w="0" w:type="dxa"/>
              <w:left w:w="900" w:type="dxa"/>
              <w:bottom w:w="0" w:type="dxa"/>
              <w:right w:w="0" w:type="dxa"/>
            </w:tcMar>
            <w:vAlign w:val="center"/>
          </w:tcPr>
          <w:p w:rsidR="000368E3" w:rsidRDefault="000368E3" w:rsidP="000368E3">
            <w:pPr>
              <w:jc w:val="center"/>
              <w:rPr>
                <w:rFonts w:ascii="宋体" w:hAnsi="宋体" w:hint="eastAsia"/>
                <w:b/>
                <w:bCs/>
                <w:sz w:val="44"/>
                <w:szCs w:val="44"/>
              </w:rPr>
            </w:pPr>
          </w:p>
          <w:p w:rsidR="000368E3" w:rsidRPr="000368E3" w:rsidRDefault="000368E3" w:rsidP="000368E3">
            <w:pPr>
              <w:jc w:val="center"/>
              <w:rPr>
                <w:rFonts w:ascii="宋体" w:hAnsi="宋体" w:hint="eastAsia"/>
                <w:b/>
                <w:bCs/>
                <w:sz w:val="44"/>
                <w:szCs w:val="44"/>
              </w:rPr>
            </w:pPr>
            <w:r w:rsidRPr="000368E3">
              <w:rPr>
                <w:rFonts w:ascii="宋体" w:hAnsi="宋体" w:hint="eastAsia"/>
                <w:b/>
                <w:bCs/>
                <w:sz w:val="44"/>
                <w:szCs w:val="44"/>
              </w:rPr>
              <w:t>关于印发《关于进一步加强和改进独居离退休人员服务与管理工作的实施意见》的通知</w:t>
            </w:r>
          </w:p>
          <w:p w:rsidR="000368E3" w:rsidRPr="000368E3" w:rsidRDefault="000368E3" w:rsidP="000368E3">
            <w:pPr>
              <w:snapToGrid w:val="0"/>
              <w:spacing w:beforeLines="50" w:before="156" w:afterLines="50" w:after="156" w:line="300" w:lineRule="auto"/>
              <w:jc w:val="center"/>
              <w:rPr>
                <w:rFonts w:ascii="仿宋" w:eastAsia="仿宋" w:hAnsi="仿宋" w:hint="eastAsia"/>
                <w:sz w:val="32"/>
                <w:szCs w:val="32"/>
              </w:rPr>
            </w:pPr>
          </w:p>
          <w:p w:rsidR="000368E3" w:rsidRPr="000368E3" w:rsidRDefault="000368E3" w:rsidP="00E217DB">
            <w:pPr>
              <w:snapToGrid w:val="0"/>
              <w:spacing w:beforeLines="50" w:before="156" w:afterLines="50" w:after="156" w:line="300" w:lineRule="auto"/>
              <w:rPr>
                <w:rFonts w:ascii="仿宋" w:eastAsia="仿宋" w:hAnsi="仿宋" w:hint="eastAsia"/>
                <w:sz w:val="32"/>
                <w:szCs w:val="32"/>
              </w:rPr>
            </w:pPr>
            <w:r w:rsidRPr="000368E3">
              <w:rPr>
                <w:rFonts w:ascii="仿宋" w:eastAsia="仿宋" w:hAnsi="仿宋" w:hint="eastAsia"/>
                <w:sz w:val="32"/>
                <w:szCs w:val="32"/>
              </w:rPr>
              <w:t>各校区离退休办公室：</w:t>
            </w:r>
          </w:p>
          <w:p w:rsidR="000368E3" w:rsidRPr="000368E3" w:rsidRDefault="000368E3" w:rsidP="00E217DB">
            <w:pPr>
              <w:snapToGrid w:val="0"/>
              <w:spacing w:beforeLines="50" w:before="156" w:afterLines="50" w:after="156" w:line="30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《关于进一步加强和改进独居离退休人员服务与管理工作的实施意见》已经处党政联席会审议通过，现印发给你们，请遵照执行。</w:t>
            </w:r>
          </w:p>
          <w:p w:rsidR="000368E3" w:rsidRPr="000368E3" w:rsidRDefault="000368E3" w:rsidP="00E217DB">
            <w:pPr>
              <w:snapToGrid w:val="0"/>
              <w:spacing w:line="300" w:lineRule="auto"/>
              <w:ind w:firstLineChars="200" w:firstLine="640"/>
              <w:rPr>
                <w:rFonts w:ascii="仿宋" w:eastAsia="仿宋" w:hAnsi="仿宋" w:hint="eastAsia"/>
                <w:sz w:val="32"/>
                <w:szCs w:val="32"/>
              </w:rPr>
            </w:pPr>
            <w:r w:rsidRPr="000368E3">
              <w:rPr>
                <w:rFonts w:ascii="仿宋" w:eastAsia="仿宋" w:hAnsi="仿宋" w:hint="eastAsia"/>
                <w:sz w:val="32"/>
                <w:szCs w:val="32"/>
              </w:rPr>
              <w:t>特此通知</w:t>
            </w:r>
          </w:p>
          <w:p w:rsidR="000368E3" w:rsidRPr="000368E3" w:rsidRDefault="000368E3" w:rsidP="000368E3">
            <w:pPr>
              <w:snapToGrid w:val="0"/>
              <w:spacing w:line="300" w:lineRule="auto"/>
              <w:ind w:firstLineChars="250" w:firstLine="800"/>
              <w:jc w:val="center"/>
              <w:rPr>
                <w:rFonts w:ascii="仿宋" w:eastAsia="仿宋" w:hAnsi="仿宋" w:hint="eastAsia"/>
                <w:sz w:val="32"/>
                <w:szCs w:val="32"/>
              </w:rPr>
            </w:pPr>
          </w:p>
          <w:p w:rsidR="000368E3" w:rsidRPr="000368E3" w:rsidRDefault="000368E3" w:rsidP="000368E3">
            <w:pPr>
              <w:snapToGrid w:val="0"/>
              <w:spacing w:line="300" w:lineRule="auto"/>
              <w:ind w:firstLineChars="250" w:firstLine="800"/>
              <w:jc w:val="center"/>
              <w:rPr>
                <w:rFonts w:ascii="仿宋" w:eastAsia="仿宋" w:hAnsi="仿宋" w:hint="eastAsia"/>
                <w:sz w:val="32"/>
                <w:szCs w:val="32"/>
              </w:rPr>
            </w:pPr>
          </w:p>
          <w:p w:rsidR="000368E3" w:rsidRPr="000368E3" w:rsidRDefault="000368E3" w:rsidP="000368E3">
            <w:pPr>
              <w:snapToGrid w:val="0"/>
              <w:spacing w:line="560" w:lineRule="exact"/>
              <w:jc w:val="center"/>
              <w:rPr>
                <w:rFonts w:ascii="仿宋" w:eastAsia="仿宋" w:hAnsi="仿宋" w:hint="eastAsia"/>
                <w:sz w:val="32"/>
                <w:szCs w:val="32"/>
              </w:rPr>
            </w:pPr>
          </w:p>
          <w:p w:rsidR="000368E3" w:rsidRPr="000368E3" w:rsidRDefault="00E217DB" w:rsidP="000368E3">
            <w:pPr>
              <w:snapToGrid w:val="0"/>
              <w:spacing w:line="560" w:lineRule="exact"/>
              <w:jc w:val="center"/>
              <w:rPr>
                <w:rFonts w:ascii="仿宋" w:eastAsia="仿宋" w:hAnsi="仿宋" w:hint="eastAsia"/>
                <w:sz w:val="32"/>
                <w:szCs w:val="32"/>
              </w:rPr>
            </w:pPr>
            <w:r>
              <w:rPr>
                <w:rFonts w:ascii="仿宋" w:eastAsia="仿宋" w:hAnsi="仿宋" w:hint="eastAsia"/>
                <w:sz w:val="32"/>
                <w:szCs w:val="32"/>
              </w:rPr>
              <w:t xml:space="preserve">                     </w:t>
            </w:r>
            <w:r w:rsidR="000368E3" w:rsidRPr="000368E3">
              <w:rPr>
                <w:rFonts w:ascii="仿宋" w:eastAsia="仿宋" w:hAnsi="仿宋" w:hint="eastAsia"/>
                <w:sz w:val="32"/>
                <w:szCs w:val="32"/>
              </w:rPr>
              <w:t>扬州大学离退休处</w:t>
            </w:r>
          </w:p>
          <w:p w:rsidR="000368E3" w:rsidRPr="000368E3" w:rsidRDefault="00E217DB" w:rsidP="000368E3">
            <w:pPr>
              <w:snapToGrid w:val="0"/>
              <w:spacing w:line="560" w:lineRule="exact"/>
              <w:jc w:val="center"/>
              <w:rPr>
                <w:rFonts w:ascii="仿宋" w:eastAsia="仿宋" w:hAnsi="仿宋" w:hint="eastAsia"/>
                <w:sz w:val="32"/>
                <w:szCs w:val="32"/>
              </w:rPr>
            </w:pPr>
            <w:r>
              <w:rPr>
                <w:rFonts w:ascii="仿宋" w:eastAsia="仿宋" w:hAnsi="仿宋" w:hint="eastAsia"/>
                <w:sz w:val="32"/>
                <w:szCs w:val="32"/>
              </w:rPr>
              <w:t xml:space="preserve">                     </w:t>
            </w:r>
            <w:r w:rsidR="000368E3" w:rsidRPr="000368E3">
              <w:rPr>
                <w:rFonts w:ascii="仿宋" w:eastAsia="仿宋" w:hAnsi="仿宋" w:hint="eastAsia"/>
                <w:sz w:val="32"/>
                <w:szCs w:val="32"/>
              </w:rPr>
              <w:t>2019年11月5日</w:t>
            </w:r>
          </w:p>
          <w:p w:rsidR="000368E3" w:rsidRPr="000368E3" w:rsidRDefault="000368E3" w:rsidP="000368E3">
            <w:pPr>
              <w:snapToGrid w:val="0"/>
              <w:spacing w:line="560" w:lineRule="exact"/>
              <w:jc w:val="center"/>
              <w:rPr>
                <w:rFonts w:ascii="仿宋" w:eastAsia="仿宋" w:hAnsi="仿宋" w:hint="eastAsia"/>
                <w:sz w:val="32"/>
                <w:szCs w:val="32"/>
              </w:rPr>
            </w:pPr>
          </w:p>
          <w:p w:rsidR="000368E3" w:rsidRPr="000368E3" w:rsidRDefault="000368E3" w:rsidP="000368E3">
            <w:pPr>
              <w:snapToGrid w:val="0"/>
              <w:spacing w:line="560" w:lineRule="exact"/>
              <w:jc w:val="center"/>
              <w:rPr>
                <w:rFonts w:ascii="仿宋" w:eastAsia="仿宋" w:hAnsi="仿宋" w:hint="eastAsia"/>
                <w:sz w:val="32"/>
                <w:szCs w:val="32"/>
              </w:rPr>
            </w:pPr>
          </w:p>
          <w:p w:rsidR="000368E3" w:rsidRPr="000368E3" w:rsidRDefault="000368E3" w:rsidP="000368E3">
            <w:pPr>
              <w:snapToGrid w:val="0"/>
              <w:spacing w:line="560" w:lineRule="exact"/>
              <w:jc w:val="center"/>
              <w:rPr>
                <w:rFonts w:ascii="仿宋" w:eastAsia="仿宋" w:hAnsi="仿宋" w:hint="eastAsia"/>
                <w:sz w:val="32"/>
                <w:szCs w:val="32"/>
              </w:rPr>
            </w:pPr>
          </w:p>
          <w:p w:rsidR="000368E3" w:rsidRPr="000368E3" w:rsidRDefault="000368E3" w:rsidP="000368E3">
            <w:pPr>
              <w:spacing w:line="600" w:lineRule="exact"/>
              <w:jc w:val="center"/>
              <w:rPr>
                <w:rFonts w:ascii="华文中宋" w:eastAsia="华文中宋" w:hAnsi="华文中宋" w:hint="eastAsia"/>
                <w:b/>
                <w:bCs/>
                <w:sz w:val="44"/>
                <w:szCs w:val="44"/>
              </w:rPr>
            </w:pPr>
            <w:r w:rsidRPr="000368E3">
              <w:rPr>
                <w:rFonts w:ascii="华文中宋" w:eastAsia="华文中宋" w:hAnsi="华文中宋" w:hint="eastAsia"/>
                <w:b/>
                <w:bCs/>
                <w:sz w:val="44"/>
                <w:szCs w:val="44"/>
              </w:rPr>
              <w:lastRenderedPageBreak/>
              <w:t>关于进一步加强和改进独居离退休人员</w:t>
            </w:r>
          </w:p>
          <w:p w:rsidR="000368E3" w:rsidRPr="000368E3" w:rsidRDefault="000368E3" w:rsidP="000368E3">
            <w:pPr>
              <w:spacing w:line="600" w:lineRule="exact"/>
              <w:jc w:val="center"/>
              <w:rPr>
                <w:rFonts w:ascii="华文中宋" w:eastAsia="华文中宋" w:hAnsi="华文中宋" w:hint="eastAsia"/>
                <w:b/>
                <w:bCs/>
                <w:sz w:val="44"/>
                <w:szCs w:val="44"/>
              </w:rPr>
            </w:pPr>
            <w:r w:rsidRPr="000368E3">
              <w:rPr>
                <w:rFonts w:ascii="华文中宋" w:eastAsia="华文中宋" w:hAnsi="华文中宋" w:hint="eastAsia"/>
                <w:b/>
                <w:bCs/>
                <w:sz w:val="44"/>
                <w:szCs w:val="44"/>
              </w:rPr>
              <w:t>服务与管理工作的实施意见</w:t>
            </w:r>
          </w:p>
          <w:p w:rsidR="000368E3" w:rsidRPr="000368E3" w:rsidRDefault="000368E3" w:rsidP="000368E3">
            <w:pPr>
              <w:spacing w:line="360" w:lineRule="auto"/>
              <w:ind w:firstLineChars="200" w:firstLine="640"/>
              <w:jc w:val="center"/>
              <w:rPr>
                <w:rFonts w:ascii="仿宋" w:eastAsia="仿宋" w:hAnsi="仿宋" w:hint="eastAsia"/>
                <w:sz w:val="32"/>
                <w:szCs w:val="32"/>
              </w:rPr>
            </w:pP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为学习贯彻中共中央《关于进一步加强和改进离退休干部工作的意见》（中办发［2016］3号）等文件精神，全面落实“不忘初心、牢记使命”主题教育有关“守初心、担使命，找差距、抓落实”的总要求，高质量服务于广大离退休人员，有针对性地做好特殊困难离退休人员服务工作，现就进一步加强和改进独居离退休人员服务与管理工作提出如下实施意见：</w:t>
            </w:r>
          </w:p>
          <w:p w:rsidR="000368E3" w:rsidRPr="000368E3" w:rsidRDefault="000368E3" w:rsidP="000368E3">
            <w:pPr>
              <w:numPr>
                <w:ilvl w:val="0"/>
                <w:numId w:val="1"/>
              </w:numPr>
              <w:spacing w:line="360" w:lineRule="auto"/>
              <w:ind w:firstLineChars="200" w:firstLine="643"/>
              <w:jc w:val="center"/>
              <w:rPr>
                <w:rFonts w:ascii="仿宋" w:eastAsia="仿宋" w:hAnsi="仿宋" w:hint="eastAsia"/>
                <w:sz w:val="32"/>
                <w:szCs w:val="32"/>
              </w:rPr>
            </w:pPr>
            <w:r w:rsidRPr="000368E3">
              <w:rPr>
                <w:rFonts w:ascii="仿宋" w:eastAsia="仿宋" w:hAnsi="仿宋" w:hint="eastAsia"/>
                <w:b/>
                <w:bCs/>
                <w:sz w:val="32"/>
                <w:szCs w:val="32"/>
              </w:rPr>
              <w:t>把握人员标准。</w:t>
            </w:r>
            <w:r w:rsidRPr="000368E3">
              <w:rPr>
                <w:rFonts w:ascii="仿宋" w:eastAsia="仿宋" w:hAnsi="仿宋" w:hint="eastAsia"/>
                <w:sz w:val="32"/>
                <w:szCs w:val="32"/>
              </w:rPr>
              <w:t>独居离退休人员特指没有子女、独自一人居住且无人照料的离退休人员（以下简称“当事人”）。</w:t>
            </w:r>
          </w:p>
          <w:p w:rsidR="000368E3" w:rsidRPr="000368E3" w:rsidRDefault="000368E3" w:rsidP="00E217DB">
            <w:pPr>
              <w:spacing w:line="360" w:lineRule="auto"/>
              <w:ind w:firstLineChars="200" w:firstLine="643"/>
              <w:jc w:val="left"/>
              <w:rPr>
                <w:rFonts w:ascii="仿宋" w:eastAsia="仿宋" w:hAnsi="仿宋" w:hint="eastAsia"/>
                <w:sz w:val="32"/>
                <w:szCs w:val="32"/>
              </w:rPr>
            </w:pPr>
            <w:r w:rsidRPr="000368E3">
              <w:rPr>
                <w:rFonts w:ascii="仿宋" w:eastAsia="仿宋" w:hAnsi="仿宋" w:hint="eastAsia"/>
                <w:b/>
                <w:bCs/>
                <w:sz w:val="32"/>
                <w:szCs w:val="32"/>
              </w:rPr>
              <w:t>二、加强组织领导。</w:t>
            </w:r>
            <w:r w:rsidRPr="000368E3">
              <w:rPr>
                <w:rFonts w:ascii="仿宋" w:eastAsia="仿宋" w:hAnsi="仿宋" w:hint="eastAsia"/>
                <w:sz w:val="32"/>
                <w:szCs w:val="32"/>
              </w:rPr>
              <w:t>建立离退休处独居离退休人员突发事件处置工作领导小组，由离退休处党政领导班子主要负责人担任组长，班子其他成员担任副组长，各校区离退办负责同志、各校区离退休党总支书记担任组员。领导小组分校区设立相应工作组，由所在校区分管处领导担任组长，校区所在党总支书记及离退办负责同志担任副组长，校区离退办工作人员、校区分工会主席、有关党支部书记为组员，具体负责独居离退休人员突发事件的预防、协调和处置工作。</w:t>
            </w:r>
          </w:p>
          <w:p w:rsidR="000368E3" w:rsidRPr="000368E3" w:rsidRDefault="000368E3" w:rsidP="00E217DB">
            <w:pPr>
              <w:spacing w:line="360" w:lineRule="auto"/>
              <w:ind w:firstLineChars="200" w:firstLine="643"/>
              <w:jc w:val="left"/>
              <w:rPr>
                <w:rFonts w:ascii="仿宋" w:eastAsia="仿宋" w:hAnsi="仿宋" w:hint="eastAsia"/>
                <w:sz w:val="32"/>
                <w:szCs w:val="32"/>
              </w:rPr>
            </w:pPr>
            <w:r w:rsidRPr="000368E3">
              <w:rPr>
                <w:rFonts w:ascii="仿宋" w:eastAsia="仿宋" w:hAnsi="仿宋" w:hint="eastAsia"/>
                <w:b/>
                <w:bCs/>
                <w:sz w:val="32"/>
                <w:szCs w:val="32"/>
              </w:rPr>
              <w:t>三、健全工作机制。</w:t>
            </w:r>
            <w:r w:rsidRPr="000368E3">
              <w:rPr>
                <w:rFonts w:ascii="仿宋" w:eastAsia="仿宋" w:hAnsi="仿宋" w:hint="eastAsia"/>
                <w:sz w:val="32"/>
                <w:szCs w:val="32"/>
              </w:rPr>
              <w:t>积极争取社区支持，充分发挥社区在服务独居离退休人员中的主体作用，认真落实《关于实施独居离退</w:t>
            </w:r>
            <w:r w:rsidRPr="000368E3">
              <w:rPr>
                <w:rFonts w:ascii="仿宋" w:eastAsia="仿宋" w:hAnsi="仿宋" w:hint="eastAsia"/>
                <w:sz w:val="32"/>
                <w:szCs w:val="32"/>
              </w:rPr>
              <w:lastRenderedPageBreak/>
              <w:t>休人员联系制度的意见》（扬大离退[2010] 5号），按照全覆盖要求，建立并完善独居离退休人员联系信息网络，逐步构建独居离退休人员日常信息传递、报告、处理、反馈工作机制及学校、社区协同联动机制。</w:t>
            </w:r>
          </w:p>
          <w:p w:rsidR="000368E3" w:rsidRPr="000368E3" w:rsidRDefault="000368E3" w:rsidP="00E217DB">
            <w:pPr>
              <w:spacing w:line="360" w:lineRule="auto"/>
              <w:ind w:firstLineChars="200" w:firstLine="643"/>
              <w:jc w:val="left"/>
              <w:rPr>
                <w:rFonts w:ascii="仿宋" w:eastAsia="仿宋" w:hAnsi="仿宋" w:hint="eastAsia"/>
                <w:sz w:val="32"/>
                <w:szCs w:val="32"/>
              </w:rPr>
            </w:pPr>
            <w:r w:rsidRPr="000368E3">
              <w:rPr>
                <w:rFonts w:ascii="仿宋" w:eastAsia="仿宋" w:hAnsi="仿宋" w:hint="eastAsia"/>
                <w:b/>
                <w:bCs/>
                <w:sz w:val="32"/>
                <w:szCs w:val="32"/>
              </w:rPr>
              <w:t>四、实施精准服务。</w:t>
            </w:r>
            <w:r w:rsidRPr="000368E3">
              <w:rPr>
                <w:rFonts w:ascii="仿宋" w:eastAsia="仿宋" w:hAnsi="仿宋" w:hint="eastAsia"/>
                <w:sz w:val="32"/>
                <w:szCs w:val="32"/>
              </w:rPr>
              <w:t>各校区办要按照精准化服务要求，及时掌握独居离退休人员的身体、家庭及思想状况，充分发挥我校离退休人员集中居住片区联系人或小组联系人作用，充分挖掘不同年龄段老同志之间互帮互助潜力，并按照分级管理要求，认真落实联系措施及走访慰问要求，做好独居离退休人员突发事件预防与处置工作。</w:t>
            </w:r>
          </w:p>
          <w:p w:rsidR="000368E3" w:rsidRPr="000368E3" w:rsidRDefault="000368E3" w:rsidP="00E217DB">
            <w:pPr>
              <w:spacing w:line="360" w:lineRule="auto"/>
              <w:ind w:firstLineChars="200" w:firstLine="643"/>
              <w:jc w:val="left"/>
              <w:rPr>
                <w:rFonts w:ascii="仿宋" w:eastAsia="仿宋" w:hAnsi="仿宋" w:hint="eastAsia"/>
                <w:sz w:val="32"/>
                <w:szCs w:val="32"/>
              </w:rPr>
            </w:pPr>
            <w:r w:rsidRPr="000368E3">
              <w:rPr>
                <w:rFonts w:ascii="仿宋" w:eastAsia="仿宋" w:hAnsi="仿宋" w:hint="eastAsia"/>
                <w:b/>
                <w:bCs/>
                <w:sz w:val="32"/>
                <w:szCs w:val="32"/>
              </w:rPr>
              <w:t>五、坚持首问负责。</w:t>
            </w:r>
            <w:r w:rsidRPr="000368E3">
              <w:rPr>
                <w:rFonts w:ascii="仿宋" w:eastAsia="仿宋" w:hAnsi="仿宋" w:hint="eastAsia"/>
                <w:sz w:val="32"/>
                <w:szCs w:val="32"/>
              </w:rPr>
              <w:t>各校区离退办工作人员接到独居离退休人员突发事件信息后，除按照分级负责要求及时上报外，应立即奔赴现场进行处理。凡属于重大突发事件的，应及时联系所在校区分管处领导慎重果断处理。处理情况应及时向处党政主要负责同志进行报告。必要时由处党政主要领导向分管校领导进行报告。</w:t>
            </w:r>
          </w:p>
          <w:p w:rsidR="000368E3" w:rsidRPr="000368E3" w:rsidRDefault="000368E3" w:rsidP="00E217DB">
            <w:pPr>
              <w:spacing w:line="360" w:lineRule="auto"/>
              <w:ind w:firstLineChars="200" w:firstLine="643"/>
              <w:rPr>
                <w:rFonts w:ascii="仿宋" w:eastAsia="仿宋" w:hAnsi="仿宋" w:hint="eastAsia"/>
                <w:b/>
                <w:bCs/>
                <w:sz w:val="32"/>
                <w:szCs w:val="32"/>
              </w:rPr>
            </w:pPr>
            <w:r w:rsidRPr="000368E3">
              <w:rPr>
                <w:rFonts w:ascii="仿宋" w:eastAsia="仿宋" w:hAnsi="仿宋" w:hint="eastAsia"/>
                <w:b/>
                <w:bCs/>
                <w:sz w:val="32"/>
                <w:szCs w:val="32"/>
              </w:rPr>
              <w:t>六、规范处置流程</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1.当事人被自关家中不能开门的</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日常联系人或其他发现者应立即报告校区离退办工作人员。校区离退办接报后，应立即赶赴现场妥善处理或及时拨打110电</w:t>
            </w:r>
            <w:r w:rsidRPr="000368E3">
              <w:rPr>
                <w:rFonts w:ascii="仿宋" w:eastAsia="仿宋" w:hAnsi="仿宋" w:hint="eastAsia"/>
                <w:sz w:val="32"/>
                <w:szCs w:val="32"/>
              </w:rPr>
              <w:lastRenderedPageBreak/>
              <w:t>话请求帮助。</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2.当事人不慎走失的</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校区离退办接报后，应立即向分管处领导报告，并组织人员到当事人平时常去或可能去的地方寻找。如寻找未果，可通过媒体发布寻人信息或按规定向所在地公安部门报案，请求协助寻找。</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3.当事人突患急病的</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遇有类似情况发生的，当事人或日常联系人应立即拨打120急救电话，按照就近就便原则及时送医就诊。与此同时，应按照分级管理要求逐级</w:t>
            </w:r>
            <w:proofErr w:type="gramStart"/>
            <w:r w:rsidRPr="000368E3">
              <w:rPr>
                <w:rFonts w:ascii="仿宋" w:eastAsia="仿宋" w:hAnsi="仿宋" w:hint="eastAsia"/>
                <w:sz w:val="32"/>
                <w:szCs w:val="32"/>
              </w:rPr>
              <w:t>实施汇报</w:t>
            </w:r>
            <w:proofErr w:type="gramEnd"/>
            <w:r w:rsidRPr="000368E3">
              <w:rPr>
                <w:rFonts w:ascii="仿宋" w:eastAsia="仿宋" w:hAnsi="仿宋" w:hint="eastAsia"/>
                <w:sz w:val="32"/>
                <w:szCs w:val="32"/>
              </w:rPr>
              <w:t>并及时通知其委托代理人、最亲近联系人或有关亲属代表到现场实施处置。</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医疗签字手续一般由当事人的委托代理人、最亲近联系人或有关亲属负责办理。在前述人员因不可抗拒原因缺席情况下，当事人所在校区离退办负责同志可先行代办签字手续，待当事人前述人员到场后再交其负责全权处理。</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上述当事人发生的医疗费用由其委托代理人或最亲近联系人或有关亲属代表代为负责处理，包括医药费垫付和报销。特殊情况下，当事人所在校区离退办负责同志可代其到学校办理住院费用先行垫付手续，并按照学校要求代为办理医疗费报销手续，其中按规定由个人承担的医药费须由当事人负责承担。</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lastRenderedPageBreak/>
              <w:t>4.当事人去世后治丧事宜</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各校区离退办应主动协助当事人所在归属单位及其亲属妥善处理治丧等善后事宜。如当事人没有亲属，其丧事由所在校区离退办会同所在社区代为办理，有关费用结算、房产处置等事宜按国家有关法律法规处理。</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5.当事人发生其他情形的</w:t>
            </w:r>
            <w:bookmarkStart w:id="0" w:name="_GoBack"/>
            <w:bookmarkEnd w:id="0"/>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自来水报修电话：87229911</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供电公司报修电话：95598</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学校水电急修电话：87979000</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天然气或液化气急修电话：87342342</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火情报警电话：119</w:t>
            </w:r>
          </w:p>
          <w:p w:rsidR="000368E3" w:rsidRPr="000368E3" w:rsidRDefault="000368E3" w:rsidP="00E217DB">
            <w:pPr>
              <w:spacing w:line="360" w:lineRule="auto"/>
              <w:ind w:firstLineChars="200" w:firstLine="640"/>
              <w:jc w:val="left"/>
              <w:rPr>
                <w:rFonts w:ascii="仿宋" w:eastAsia="仿宋" w:hAnsi="仿宋" w:hint="eastAsia"/>
                <w:sz w:val="32"/>
                <w:szCs w:val="32"/>
              </w:rPr>
            </w:pPr>
            <w:r w:rsidRPr="000368E3">
              <w:rPr>
                <w:rFonts w:ascii="仿宋" w:eastAsia="仿宋" w:hAnsi="仿宋" w:hint="eastAsia"/>
                <w:sz w:val="32"/>
                <w:szCs w:val="32"/>
              </w:rPr>
              <w:t>急病求助电话：120</w:t>
            </w:r>
          </w:p>
          <w:p w:rsidR="000368E3" w:rsidRPr="000368E3" w:rsidRDefault="000368E3" w:rsidP="000368E3">
            <w:pPr>
              <w:jc w:val="center"/>
              <w:rPr>
                <w:rFonts w:ascii="Calibri" w:hAnsi="Calibri" w:hint="eastAsia"/>
              </w:rPr>
            </w:pPr>
          </w:p>
          <w:p w:rsidR="000368E3" w:rsidRPr="000368E3" w:rsidRDefault="000368E3" w:rsidP="000368E3">
            <w:pPr>
              <w:jc w:val="center"/>
              <w:rPr>
                <w:rFonts w:ascii="仿宋" w:eastAsia="仿宋" w:hAnsi="仿宋"/>
                <w:sz w:val="32"/>
                <w:szCs w:val="32"/>
              </w:rPr>
            </w:pPr>
          </w:p>
          <w:p w:rsidR="000368E3" w:rsidRPr="000368E3" w:rsidRDefault="000368E3" w:rsidP="000368E3">
            <w:pPr>
              <w:widowControl/>
              <w:spacing w:line="1160" w:lineRule="atLeast"/>
              <w:jc w:val="center"/>
              <w:rPr>
                <w:rFonts w:ascii="宋体" w:hAnsi="宋体"/>
                <w:kern w:val="0"/>
              </w:rPr>
            </w:pPr>
          </w:p>
        </w:tc>
      </w:tr>
      <w:tr w:rsidR="000368E3" w:rsidTr="00E217DB">
        <w:trPr>
          <w:trHeight w:val="4200"/>
        </w:trPr>
        <w:tc>
          <w:tcPr>
            <w:tcW w:w="0" w:type="auto"/>
            <w:tcBorders>
              <w:top w:val="nil"/>
              <w:left w:val="nil"/>
              <w:bottom w:val="nil"/>
              <w:right w:val="nil"/>
            </w:tcBorders>
            <w:tcMar>
              <w:top w:w="300" w:type="dxa"/>
              <w:left w:w="45" w:type="dxa"/>
              <w:bottom w:w="0" w:type="dxa"/>
              <w:right w:w="0" w:type="dxa"/>
            </w:tcMar>
          </w:tcPr>
          <w:p w:rsidR="000368E3" w:rsidRDefault="000368E3">
            <w:pPr>
              <w:widowControl/>
              <w:spacing w:line="300" w:lineRule="exact"/>
              <w:jc w:val="left"/>
              <w:rPr>
                <w:rFonts w:ascii="宋体" w:hAnsi="宋体"/>
                <w:kern w:val="0"/>
              </w:rPr>
            </w:pPr>
          </w:p>
        </w:tc>
      </w:tr>
    </w:tbl>
    <w:p w:rsidR="000368E3" w:rsidRDefault="000368E3" w:rsidP="000368E3">
      <w:pPr>
        <w:rPr>
          <w:rFonts w:hint="eastAsia"/>
        </w:rPr>
      </w:pPr>
      <w:r>
        <w:t xml:space="preserve"> </w:t>
      </w:r>
    </w:p>
    <w:p w:rsidR="00614A10" w:rsidRPr="000368E3" w:rsidRDefault="00614A10"/>
    <w:sectPr w:rsidR="00614A10" w:rsidRPr="000368E3" w:rsidSect="000368E3">
      <w:pgSz w:w="11906" w:h="16838"/>
      <w:pgMar w:top="1871" w:right="1474" w:bottom="187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31A06"/>
    <w:multiLevelType w:val="multilevel"/>
    <w:tmpl w:val="37A2A08C"/>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E3"/>
    <w:rsid w:val="000368E3"/>
    <w:rsid w:val="00614A10"/>
    <w:rsid w:val="00E2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E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E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21761">
      <w:bodyDiv w:val="1"/>
      <w:marLeft w:val="0"/>
      <w:marRight w:val="0"/>
      <w:marTop w:val="0"/>
      <w:marBottom w:val="0"/>
      <w:divBdr>
        <w:top w:val="none" w:sz="0" w:space="0" w:color="auto"/>
        <w:left w:val="none" w:sz="0" w:space="0" w:color="auto"/>
        <w:bottom w:val="none" w:sz="0" w:space="0" w:color="auto"/>
        <w:right w:val="none" w:sz="0" w:space="0" w:color="auto"/>
      </w:divBdr>
    </w:div>
    <w:div w:id="1645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2019-11-06T06:25:00Z</dcterms:created>
  <dc:creator>未定义</dc:creator>
  <lastModifiedBy>未定义</lastModifiedBy>
  <dcterms:modified xsi:type="dcterms:W3CDTF">2019-11-06T06:43:00Z</dcterms:modified>
  <revision>1</revision>
</coreProperties>
</file>